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93D" w:rsidRDefault="0099293D" w:rsidP="005E1067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bookmarkStart w:id="0" w:name="_GoBack"/>
      <w:bookmarkEnd w:id="0"/>
      <w:r w:rsidRPr="005E1067">
        <w:rPr>
          <w:rFonts w:ascii="Arial" w:eastAsia="Times New Roman" w:hAnsi="Arial" w:cs="Arial"/>
          <w:b/>
          <w:szCs w:val="16"/>
          <w:lang w:val="es-EC" w:eastAsia="es-EC"/>
        </w:rPr>
        <w:t>Servicio de Rentas</w:t>
      </w:r>
      <w:r w:rsidRPr="0099293D">
        <w:rPr>
          <w:rFonts w:ascii="Arial" w:eastAsia="Times New Roman" w:hAnsi="Arial" w:cs="Arial"/>
          <w:b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b/>
          <w:szCs w:val="16"/>
          <w:lang w:val="es-EC" w:eastAsia="es-EC"/>
        </w:rPr>
        <w:t>Internas</w:t>
      </w:r>
      <w:r w:rsidRPr="0099293D">
        <w:rPr>
          <w:rFonts w:ascii="Arial" w:eastAsia="Times New Roman" w:hAnsi="Arial" w:cs="Arial"/>
          <w:b/>
          <w:szCs w:val="16"/>
          <w:lang w:val="es-EC" w:eastAsia="es-EC"/>
        </w:rPr>
        <w:t>:</w:t>
      </w:r>
      <w:r w:rsidRPr="005E1067">
        <w:rPr>
          <w:rFonts w:ascii="Arial" w:eastAsia="Times New Roman" w:hAnsi="Arial" w:cs="Arial"/>
          <w:b/>
          <w:szCs w:val="16"/>
          <w:lang w:val="es-EC" w:eastAsia="es-EC"/>
        </w:rPr>
        <w:t xml:space="preserve"> </w:t>
      </w:r>
    </w:p>
    <w:p w:rsidR="0099293D" w:rsidRDefault="0099293D" w:rsidP="005E1067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</w:p>
    <w:p w:rsidR="0099293D" w:rsidRDefault="0099293D" w:rsidP="005E1067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</w:p>
    <w:p w:rsidR="005E1067" w:rsidRPr="0099293D" w:rsidRDefault="005E1067" w:rsidP="005E1067">
      <w:pPr>
        <w:spacing w:after="0" w:line="240" w:lineRule="auto"/>
        <w:rPr>
          <w:rFonts w:ascii="Arial" w:eastAsia="Times New Roman" w:hAnsi="Arial" w:cs="Arial"/>
          <w:b/>
          <w:sz w:val="20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20"/>
          <w:szCs w:val="16"/>
          <w:lang w:val="es-EC" w:eastAsia="es-EC"/>
        </w:rPr>
        <w:t>Tercer Suplemento del Registro Oficial No. 726</w:t>
      </w:r>
      <w:r w:rsidR="0099293D" w:rsidRPr="0099293D">
        <w:rPr>
          <w:rFonts w:ascii="Arial" w:eastAsia="Times New Roman" w:hAnsi="Arial" w:cs="Arial"/>
          <w:b/>
          <w:sz w:val="20"/>
          <w:szCs w:val="16"/>
          <w:lang w:val="es-EC" w:eastAsia="es-EC"/>
        </w:rPr>
        <w:t xml:space="preserve"> del </w:t>
      </w:r>
      <w:r w:rsidRPr="005E1067">
        <w:rPr>
          <w:rFonts w:ascii="Arial" w:eastAsia="Times New Roman" w:hAnsi="Arial" w:cs="Arial"/>
          <w:b/>
          <w:sz w:val="20"/>
          <w:szCs w:val="16"/>
          <w:lang w:val="es-EC" w:eastAsia="es-EC"/>
        </w:rPr>
        <w:t>05 de abril de 2016</w:t>
      </w:r>
    </w:p>
    <w:p w:rsidR="0099293D" w:rsidRPr="005E1067" w:rsidRDefault="0099293D" w:rsidP="005E1067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</w:p>
    <w:p w:rsidR="005E1067" w:rsidRPr="0099293D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20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20"/>
          <w:szCs w:val="16"/>
          <w:lang w:val="es-EC" w:eastAsia="es-EC"/>
        </w:rPr>
        <w:t>Resolución No. NAC-DGERCGC16-00000138</w:t>
      </w:r>
      <w:r w:rsidRPr="0099293D">
        <w:rPr>
          <w:rFonts w:ascii="Arial" w:eastAsia="Times New Roman" w:hAnsi="Arial" w:cs="Arial"/>
          <w:b/>
          <w:sz w:val="20"/>
          <w:szCs w:val="16"/>
          <w:lang w:val="es-EC" w:eastAsia="es-EC"/>
        </w:rPr>
        <w:t>:</w:t>
      </w:r>
      <w:r w:rsidRPr="0099293D">
        <w:rPr>
          <w:rFonts w:ascii="Arial" w:eastAsia="Times New Roman" w:hAnsi="Arial" w:cs="Arial"/>
          <w:sz w:val="20"/>
          <w:szCs w:val="16"/>
          <w:lang w:val="es-EC" w:eastAsia="es-EC"/>
        </w:rPr>
        <w:t xml:space="preserve"> Se es</w:t>
      </w:r>
      <w:r w:rsidR="005E1067" w:rsidRPr="005E1067">
        <w:rPr>
          <w:rFonts w:ascii="Arial" w:eastAsia="Times New Roman" w:hAnsi="Arial" w:cs="Arial"/>
          <w:sz w:val="20"/>
          <w:szCs w:val="16"/>
          <w:lang w:val="es-EC" w:eastAsia="es-EC"/>
        </w:rPr>
        <w:t>tabl</w:t>
      </w:r>
      <w:r w:rsidRPr="0099293D">
        <w:rPr>
          <w:rFonts w:ascii="Arial" w:eastAsia="Times New Roman" w:hAnsi="Arial" w:cs="Arial"/>
          <w:sz w:val="20"/>
          <w:szCs w:val="16"/>
          <w:lang w:val="es-EC" w:eastAsia="es-EC"/>
        </w:rPr>
        <w:t xml:space="preserve">ecen </w:t>
      </w:r>
      <w:r w:rsidR="005E1067" w:rsidRPr="005E1067">
        <w:rPr>
          <w:rFonts w:ascii="Arial" w:eastAsia="Times New Roman" w:hAnsi="Arial" w:cs="Arial"/>
          <w:sz w:val="20"/>
          <w:szCs w:val="16"/>
          <w:lang w:val="es-EC" w:eastAsia="es-EC"/>
        </w:rPr>
        <w:t>las normas para determinar los ingresos gravables, costos y</w:t>
      </w:r>
      <w:r w:rsidR="005E1067" w:rsidRPr="0099293D">
        <w:rPr>
          <w:rFonts w:ascii="Arial" w:eastAsia="Times New Roman" w:hAnsi="Arial" w:cs="Arial"/>
          <w:sz w:val="20"/>
          <w:szCs w:val="16"/>
          <w:lang w:val="es-EC" w:eastAsia="es-EC"/>
        </w:rPr>
        <w:t xml:space="preserve"> </w:t>
      </w:r>
      <w:r w:rsidR="005E1067" w:rsidRPr="005E1067">
        <w:rPr>
          <w:rFonts w:ascii="Arial" w:eastAsia="Times New Roman" w:hAnsi="Arial" w:cs="Arial"/>
          <w:sz w:val="20"/>
          <w:szCs w:val="16"/>
          <w:lang w:val="es-EC" w:eastAsia="es-EC"/>
        </w:rPr>
        <w:t>gastos deducibles imputables a contratos de construcción.</w:t>
      </w:r>
    </w:p>
    <w:p w:rsidR="00737BBD" w:rsidRPr="005E1067" w:rsidRDefault="00737BBD" w:rsidP="005E1067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99293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“Considerando:</w:t>
      </w:r>
    </w:p>
    <w:p w:rsidR="00737BBD" w:rsidRPr="005E1067" w:rsidRDefault="00737BBD" w:rsidP="005E1067">
      <w:pPr>
        <w:spacing w:after="0" w:line="240" w:lineRule="auto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83 de la Constitución de la República del Ecuador establece que son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deberes y responsabilidades de los habitantes del Ecuador acatar y cumplir la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Constitución, la ley y las decisiones legítimas de autoridad competente, cooperar con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Estado y la comunidad en la seguridad social y pagar los tributos establecidos por la ley;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226 de la Constitución de la República del Ecuador dispone que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instituciones del Estado, sus organismos, dependencias, las servidoras o servidores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públicos y las personas que actúen en virtud de una potestad estatal ejercerán solamente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las competencias y facultades que les sean atribuidas en la Constitución y la ley;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300 de la Constitución de la República del Ecuador establece que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régimen tributario se regirá por los principios de generalidad, progresividad, eficiencia,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simplicidad administrativa, irretroactividad, equidad, transparencia y suficiencia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recaudatoria. Se priorizarán los impuestos directos y progresivos;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1 de la Ley de Creación del Servicio de Rentas Internas crea el Servicio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Rentas Internas (SRI) como una entidad técnica y autónoma, con personería jurídica,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derecho público, patrimonio y fondos propios, jurisdicción nacional y sede principal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la ciudad de Quito;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conforme lo dispuesto por el artículo 5 del Código Tributario, el régimen tributario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se regirá por los principios de legalidad, generalidad, igualdad, proporcionalidad, 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irretroactividad;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de acuerdo con lo establecido en el artículo 7 del Código Tributario, en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concordancia con el artículo 8 de la Ley de Creación del Servicio de Rentas Internas, 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facultad del Director o Directora General del Servicio de Rentas Internas expedir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resoluciones, circulares o disposiciones de carácter general y obligatorio necesarias para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aplicación de las normas legales y reglamentarias;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la Ley de Régimen Tributario Interno en su artículo 19 establece que están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obligadas a llevar contabilidad y declarar el impuesto en base de los resultados que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arroje la misma todas las sociedades. También lo estarán las personas naturales y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sucesiones indivisas que al primero de enero operen con un capital o cuyos ingresos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brutos o gastos anuales del ejercicio inmediato anterior, sean superiores a los límites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en cada caso se establezcan en el Reglamento, incluyendo las personas naturales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desarrollen actividades agrícolas, pecuarias, forestales o similares;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28 de la Ley de Régimen Tributario Interno, sustituido por el artículo 16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la Ley Orgánica de Incentivos a la Producción y Prevención del Fraude Fiscal,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publicada en el Suplemento del Registro Oficial No. 405 de 29 de Diciembre del 2014,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dispone que los contribuyentes que obtengan ingresos por contratos de construcción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liquidarán el impuesto en base a los resultados que arroje su contabilidad en aplicación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las normas contables correspondientes;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28 de la Ley de Régimen Tributario Interno previo a ser sustituido por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artículo 16 de la Ley Orgánica de Incentivos a la Producción y Prevención del Fraude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Fiscal y que se encontraba vigente hasta el 31 de diciembre del 2014 establecía que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empresas que obtengan ingresos provenientes de la actividad de la construcción,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satisfarán el impuesto a base de los resultados que arroje la contabilidad de la empresa.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Cuando las obras de construcción duren más de un año, se podrá adoptar uno de los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sistemas recomendados por la técnica contable para el registro de los ingresos y costos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las obras, tales como el sistema de "obra terminada" y el sistema de "porcentaje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terminación", pero, adoptado un sistema, no podrá cambiarse a otro sino con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autorización del Servicio de Rentas Internas;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39 del Reglamento para la aplicación a la Ley de Régimen Tributario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Interno reformado por el artículo 14 del Decreto Ejecutivo No. 539, publicado en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Tercer Suplemento del Registro Oficial No. 407 de 31 de diciembre de 2014, dispone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los estados financieros deben ser preparados de acuerdo a los principios del marco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normativo exigido por el organismo de control pertinente y servirán de base para la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 xml:space="preserve">elaboración de las declaraciones de 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>o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bligaciones tributarias, así como también para su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presentación ante los organismos de control correspondientes. Por otro lado, establece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además que para las sociedades en las que su organismo de control pertinente no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hubiere emitido disposiciones al respecto, la contabilidad se llevará con sujeción a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disposiciones y condiciones que mediante resolución establezca el Servicio de Rentas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Internas.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39 del Reglamento para la aplicación a la Ley de Régimen Tributario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Interno previo a ser reformado por el artículo 14 del Decreto Ejecutivo No. 539,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publicado en el Tercer Suplemento del Registro Oficial No. 407 de 31 de diciembre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2014, establecía que la contabilidad se llevará por el sistema de partida doble, en idioma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castellano y en dólares de los Estados Unidos de América. Para las personas naturales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obligadas a llevar contabilidad y sociedades que no estén bajo el control y vigilancia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las Superintendencias de Compañías o de Bancos y Seguros, la contabilidad se llevará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 sujeción a las Normas Ecuatorianas de Contabilidad (NEC) y a las Normas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Internacionales de Contabilidad (NIC), en los aspectos no contemplados por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primeras, cumpliendo las disposiciones de la Ley de Régimen Tributario Interno y este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Reglamento;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lastRenderedPageBreak/>
        <w:t>Que la Superintendencia de Compañías, Valores y Seguros emitió la Resolución No.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08.G.DSC.010 publicada en Registro Oficial No. 498, del 31 de diciembre de 2008, en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que estableció el cronograma de aplicación obligatoria, a partir del 1 de enero del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2010, de las Normas Internacionales de Información Financiera "NIIF" por parte de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compañías y entes sujetos a su control y vigilancia;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la Norma Internacional de Contabilidad NIC 11 "Contratos de construcción"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respecto a la contabilización de los contratos de construcción en los estados financieros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los contratistas, en su parte pertinente, establece que cuando el resultado de un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contrato de construcción pueda ser estimado con suficiente Habilidad, los ingresos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actividades ordinarias y los costos asociados con el mismo deben ser reconocidos como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 de actividades ordinarias y gastos respectivamente, con referencia al estado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realización de la actividad producida por el contrato al final del periodo sobre el que se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informa;</w:t>
      </w:r>
    </w:p>
    <w:p w:rsidR="00737BBD" w:rsidRPr="005E1067" w:rsidRDefault="00737BBD" w:rsidP="005E1067">
      <w:pPr>
        <w:spacing w:after="0" w:line="240" w:lineRule="auto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737BBD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dicha norma contable señala también que el reconocimiento de ingresos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actividades ordinarias y gastos con referencia al grado de realización del contrato es, 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menudo, denominado método del porcentaje de terminación. Bajo este método, los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ingresos derivados del contrato se comparan con los costos del mismo incurridos en la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consecución del grado de realización en que se encuentre, con lo que se revelará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importe de los ingresos de actividades ordinarias, de los gastos y de las ganancias que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pueden ser atribuidas a la porción del contrato ya ejecutado. Este método suministra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información útil sobre la evolución de la actividad del contrato y el rendimiento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derivado del mismo en cada periodo contable. Bajo el método del porcentaje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realización, los ingresos de actividades ordinarias del contrato se reconocen como tales,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el resultado del periodo, a lo largo de los periodos contables en los que se lleve 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cabo la ejecución del contrato. Los costos del contrato se reconocerán habitualmente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como gastos en el resultado del periodo en el que se ejecute el trabajo con el que están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relacionados. El grado de realización de un contrato puede determinarse de varias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formas; según la norma contable, dependiendo de la naturaleza del contrato, los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métodos pueden incluir: la proporción de los costos del contrato incurridos en el trabajo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ya realizado hasta la fecha, en relación con los costos totales estimados para el contrato;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inspección de los trabajos ejecutados; o la proporción física del contrato ejecutada;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la misma norma contable establece en sus párrafos 40 y siguientes, que una entidad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revelará, para cada uno de los contratos en curso, al final del periodo sobre el que se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informa, la información sobre: la cantidad acumulada de costos incurridos, y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ganancias reconocidas (menos las correspondientes pérdidas reconocidas) hasta la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fecha; la cuantía de los anticipos recibidos; y la cuantía de las retenciones en los pagos.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Establece además, que las retenciones son cantidades, procedentes de las certificaciones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hechas a los clientes, que no se recuperan hasta la satisfacción de las condiciones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especificadas en el contrato para su cobro, o bien hasta que los defectos de la obra han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sido rectificados. Las certificaciones son las cantidades facturadas por el trabajo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ejecutado bajo el contrato, hayan sido pagadas por el cliente o no. Los anticipos son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cantidades recibidas por el contratista antes de que el trabajo haya sido ejecutado. Por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otro lado, una entidad presentará los activos que representen cantidades, en términos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brutos, debidas por los clientes por causa de contratos de construcción; y los pasivos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representen cantidades, en términos brutos, debidas a los clientes por causa de estos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mismos contratos. Se entenderá que la cantidad bruta debida por los clientes, por causa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los contratos, es la diferencia entre: los costos incurridos más las ganancias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reconocidas; menos la suma de las pérdidas reconocidas y las certificaciones realizadas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para todos los contratos en curso, en los cuales los costos incurridos más las ganancias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reconocidas (menos las pérdidas reconocidas) excedan a los importes de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certificaciones de obra realizadas y facturadas. Y que la cantidad bruta debida a los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clientes, por causa de los contratos, es la diferencia entre los costos incurridos más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ganancias reconocidas; menos la suma de las pérdidas reconocidas y las certificaciones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realizadas para todos los contratos en curso, en los cuales las certificaciones de obra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realizadas y facturadas excedan a los costos incurridos más las ganancias reconocidas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(menos las correspondientes pérdidas reconocidas).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en la práctica, en los contratos de construcción se presentan comúnmente las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siguientes etapas: 1) emisión de planillas de avance de obra por parte del contratista; 2)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fiscalización y aprobación de planillas por parte del contratante; y 3) emisión de factura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del contratista, y pago de las facturas.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artículo 61 de la Ley de Régimen Tributario Interno, respecto al hecho generador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del IVA, en su numeral 3 establece que en el caso de prestaciones de servicios por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avance de obra o etapas, el hecho generador del impuesto se verificará con la entrega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cada certificado de avance de obra o etapa, hecho por el cual se debe emitir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obligatoriamente el respectivo comprobante de venta;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el primer inciso del artículo 10 de la Ley de Régimen Tributario establece que en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general, con el propósito de determinar la base imponible sujeta al Impuesto a la Renta,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se deducirán los gastos que se efectúen con el propósito de obtener, mantener y mejorar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los ingresos de fuente ecuatoriana que no estén exentos;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Que es deber de la Administración Tributaria a través del Director General del Servicio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Rentas Internas expedir las normas necesarias para facilitar a los contribuyentes el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cumplimiento de sus obligaciones tributarias y deberes formales, de conformidad con la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ley; y,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ejercicio de sus facultades legales,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B54AD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Resuelve: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737BBD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Establecer las normas para determinar los ingresos gravables, costos y gastos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deducibles imputables a contratos de construcción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>.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Artículo 1. Ámbito de aplicación.-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Establézcanse las normas para determinar los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ingresos gravables, costos y gastos deducibles imputables a los contratos de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construcción.</w:t>
      </w:r>
    </w:p>
    <w:p w:rsidR="00737BBD" w:rsidRPr="0099293D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lastRenderedPageBreak/>
        <w:t>Artículo 2. Ingresos de los contratos de construcción.-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Los sujetos pasivos que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obtengan ingresos provenientes de contratos de construcción deberán considerar lo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siguiente:</w:t>
      </w:r>
    </w:p>
    <w:p w:rsidR="00737BBD" w:rsidRPr="005E1067" w:rsidRDefault="00737BBD" w:rsidP="00737BB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1. Los ingresos serán reconocidos y registrados como resultados del período; dicho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reconocimiento dependerá del porcentaje de realización del contrato y del método</w:t>
      </w:r>
      <w:r w:rsidR="00737BBD" w:rsidRP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contable utilizado para determinarlos.</w:t>
      </w:r>
    </w:p>
    <w:p w:rsidR="0099293D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2. En el caso de contribuyentes que mantengan contratos de construcción, cuyas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condiciones contractuales establezcan procesos de fiscalización sobre planillas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avance de obra, los ingresos se considerarán como gravados para fines tributarios en 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ejercicio fiscal en el cual dichas planillas hubieren sido certificadas o aprobadas por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parte de sus contratantes, independientemente de la fecha de emisión de la factura 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pago de las mismas. La(s) factura(s) de venta deberá(n) ser entregadas(s) por los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contratistas en un plazo máximo de cinco días a partir de la fecha de aprobación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definitiva de la(s) planilla(s).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el caso de que los contratos de construcción se lleven a cabo entre partes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relacionadas, la Administración Tributaria realizará las acciones correspondientes con 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fin de verificar la fecha de ocurrencia de la emisión y aprobación de las planillas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avance de obra.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3. En el caso de que los contratos de construcción no establezcan procesos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fiscalización, los ingresos deberán ser declarados y tributados en el ejercicio fiscal,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correspondiente a la fecha de emisión de las planillas de avance de obra.</w:t>
      </w:r>
    </w:p>
    <w:p w:rsidR="0099293D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Artículo 3. Costos y gastos de los contratos de construcción.-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Los costos y gastos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contrato deberán ser considerados como deducibles, según corresponda, en función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los ingresos gravados conforme las condiciones establecidas en el artículo anterior, en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atención a lo dispuesto en el primer inciso del artículo 10 de la Ley de Régimen</w:t>
      </w: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Tributario Interno.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Para que los costos y gastos sean deducibles deberán cumplir con las disposiciones de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Ley de Régimen Tributario y su Reglamento y deberán estar respaldados en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comprobantes de venta, de conformidad con lo establecido en el Reglamento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Comprobantes de Venta, Retención y Documentos Complementarios.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Artículo 4. De la aplicación.-</w:t>
      </w:r>
      <w:r w:rsidR="0099293D" w:rsidRPr="0099293D">
        <w:rPr>
          <w:rFonts w:ascii="Arial" w:eastAsia="Times New Roman" w:hAnsi="Arial" w:cs="Arial"/>
          <w:b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Para la aplicación de los artículos 2 y 3 de la presente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resolución, se deberá tener en cuenta lo siguiente: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1. De conformidad con lo establecido en los párrafos 40 y siguientes de la Norma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Internacional de Contabilidad NIC 11 "Contratos de Construcción" y la parte B de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referida norma contable, la Administración Tributaria verificará que el contribuyente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haya revelado, en las notas a sus Estados Financieros, los valores que correspondan al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Importe Bruto Adeudado por Clientes y las certificaciones o aprobaciones de planillas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avance de obra.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2. Los contribuyentes que obtengan ingresos por contratos de construcción deberán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mantener su contabilidad diferenciada en centros de costos por cada proyecto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construcción u otra metodología que permita diferenciar inequívocamente los ingresos,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costos y gastos de cada proyecto, así como los presupuestos, cálculos, estimaciones,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estudios, etc., que afecten a los registros contables de cada contrato. En el caso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personas naturales obligadas a llevar contabilidad, su información contable y financiera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deberá revelar igual situación, así como la distinción entre las diferentes fuentes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ingresos obtenidas dentro del respectivo ejercicio fiscal.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3. Los efectos en el Impuesto a la Renta por la declaración de los ingresos y costos,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correspondientes a planillas no aprobadas en un ejercicio fiscal, se deberán reflejar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como un pasivo por impuesto diferido; las diferencias temporarias deberán ser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registradas en la conciliación tributaria de la declaración de Impuesto a la Renta según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corresponda.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4. De conformidad con lo dispuesto en la Norma Internacional de Contabilidad No. 11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"Contratos de Construcción", los contribuyentes deberán proceder de la siguiente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manera: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99293D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Para el ejercicio fiscal 1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a) De la totalidad de los ingresos, se deberá identificar aquellos provenientes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planillas aprobadas así como aquellos provenientes de las planillas emitidas y no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certificadas.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99293D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b) De la totalidad de los costos y gastos, se deberá identificar aquellos asociados a las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planillas aprobadas y aquellos asociados a planillas emitidas y no certificadas.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</w:p>
    <w:p w:rsidR="0099293D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c) La utilidad o pérdida contable será el resultado de restar, de la totalidad de los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ingresos provenientes de las planillas, tanto aprobadas como aquellas emitidas y no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certificadas, el total de costos y gastos asociados tanto a planillas aprobadas, como 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aquellas emitidas y no certificadas. El contribuyente deberá considerar, de ser el caso,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otros ingresos o costos y gastos adicionales.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99293D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d) En el caso de generar una utilidad contable, se deberá determinar el 15% de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participación de trabajadores sobre la totalidad de este valor.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</w:p>
    <w:p w:rsidR="0099293D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e) En la conciliación tributaria, en la casilla "Otras Diferencias Temporarias"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formulario 101 de la declaración de Impuesto a la Renta, se deberá registrar el efecto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neto de los ingresos, costos y gastos atribuibles a planillas emitidas y no certificadas así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como la parte proporcional de la participación trabajadores, asociada a dichas planillas.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f) La utilidad gravable corresponderá a los valores de los ingresos, costos y gastos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atribuibles a las planillas de avance de obra aprobadas así como la parte proporcional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participación trabajadores asociada a dichas planillas, debiendo incluir las demás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partidas conciliatorias conforme lo establecido en la normativa tributaria vigente.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Para el ejercicio fiscal 2 o siguientes</w:t>
      </w: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lastRenderedPageBreak/>
        <w:t>g) Para el ejercicio fiscal 2 o siguientes, se deberá efectuar el mismo procedimiento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dispuesto para el ejercicio fiscal 1.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h) Una vez certificadas las planillas que quedaron pendientes de aprobación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ejercicio fiscal 1, los contribuyentes, en el ejercicio fiscal 2 o siguientes, deberán incluir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la conciliación tributaria, en la casilla "Otras Diferencias Temporarias"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formulario 101 de la declaración de Impuesto a la Renta, el efecto neto de los ingresos,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costos y gastos atribuibles a planillas emitidas y no certificadas así como la parte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proporcional de la participación trabajadores, asociada a dichas planillas, que no fueron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aprobadas en ejercicio fiscal 1 y se aprobaron en el ejercicio fiscal 2 o siguientes, lo que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generará ingresos gravados,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costos y gastos deducibles y la respectiva deducción de la parte proporcional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correspondiente al 15% de la participación trabajadores pagado en años anteriores.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5. Los valores correspondientes a retenciones en la fuente derivadas de los ingresos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gravados serán reconocidos en el ejercicio fiscal en el que fueron tributados los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ingresos, independientemente de la fecha de emisión del comprobante de retención.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6. Las personas naturales obligadas a llevar contabilidad, para efectos de la aplicación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de la presente resolución, deberán registrar, los ingresos correspondientes a planillas no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aprobadas en la casilla de "Otras Rentas Exentas"; los costos y gastos correspondientes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 las planillas de avance de obra no aprobadas, en la casilla de "Gastos Incurridos Para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Generar Ingresos Exentos"; y la parte proporcional de la participación trabajadores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atribuible a las planillas de avance de obra no aprobadas, en la casilla de "Participación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Trabajadores atribuible a Ingresos Exentos", del formulario 102 de la Declaración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Impuesto a la Renta.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Artículo 5. Aplicación de los métodos contables en los contratos de construcción.-</w:t>
      </w:r>
      <w:r w:rsidR="0099293D" w:rsidRPr="0099293D">
        <w:rPr>
          <w:rFonts w:ascii="Arial" w:eastAsia="Times New Roman" w:hAnsi="Arial" w:cs="Arial"/>
          <w:b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Administración Tributaria recuerda a los sujetos pasivos que, en aplicación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artículo 28 de la Ley de Régimen Tributario Interno: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1. Para los sujetos pasivos que se encuentran bajo el control de la Superintendencia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Compañías, Valores y Seguros, que hubieren firmado contratos de construcción con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anterioridad al ejercicio fiscal 2010, esta Administración Tributaria verificará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correcta aplicación del método de avance de obra u obra terminada de conformidad con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los requisitos y condiciones establecidas en la Norma Ecuatoriana de Contabilidad No.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15 "Contratos de Construcción"; así como la adopción y aplicación de la Norma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Internacional de Contabilidad No. 11 según el cronograma establecido en la Resolución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No. 08.G.DSC.010 publicada en Registro Oficial No. 498 emitida el 31 de diciembre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2008 por la Superintendencia de Compañías, Valores y Seguros.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2. Páralos sujetos pasivos que se encuentran bajo el control de la Superintendencia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Compañías, Valores y Seguros que hubieren firmado contratos de construcción desde 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ejercicio fiscal 2010 en adelante, esta Administración Tributaria verificará la correcta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aplicación de Norma Internacional de Contabilidad No. 11 "Contratos de Construcción",</w:t>
      </w: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atención cronograma establecido en la Resolución No. 08.G.DSC.010 publicada en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Registro Oficial No. 498 emitida el 31 de diciembre de 2008 por la Superintendencia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Compañías, Valores y Seguros.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3. Para las personas jurídicas que no se encuentran bajo el control de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Superintendencia de Compañías, Valores y Seguros, con excepción de las asociaciones,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comunas y cooperativas sujetas a la vigilancia de la Superintendencia de la Economía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Popular y Solidaria, de conformidad con lo dispuesto en el artículo 19 de la Ley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Régimen Tributario Interno, esta Administración Tributaria verificará que, a partir del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ejercicio fiscal 2016, su contabilidad refleje la aplicación de la Norma Internacional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Contabilidad No. 11 "Contratos de Construcción" y de la Norma Internacional de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Contabilidad No. 12 "Impuesto a las Ganancias".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4. Para las personas naturales obligadas a llevar contabilidad, de conformidad con lo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establecido en el artículo 19 de la Ley de Régimen Tributario Interno, esta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Administración Tributaria verificará que, a partir del ejercicio fiscal 2016,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contabilización de sus contratos de construcción refleje la aplicación de lo establecido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en los párrafos 23.17 al 23.27 de la Sección 23 Ingresos de Actividades Ordinarias -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Contratos de construcción de la NIIF para las PYMES.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DISPOSICIÓN TRANSITORIA ÚNICA-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El Servicio de Rentas Internas aceptará la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aplicación de las disposiciones expuestas en los artículos 2, 3 y 4 de esta Resolución, en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presentación de la declaración de Impuesto a la Renta del ejercicio fiscal 2015.</w:t>
      </w:r>
    </w:p>
    <w:p w:rsidR="0099293D" w:rsidRPr="005E1067" w:rsidRDefault="0099293D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b/>
          <w:sz w:val="16"/>
          <w:szCs w:val="16"/>
          <w:lang w:val="es-EC" w:eastAsia="es-EC"/>
        </w:rPr>
        <w:t>DISPOSICIÓN FINAL.-</w:t>
      </w:r>
    </w:p>
    <w:p w:rsidR="005E1067" w:rsidRPr="005E1067" w:rsidRDefault="005E1067" w:rsidP="009929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C" w:eastAsia="es-EC"/>
        </w:rPr>
      </w:pP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La presente Resolución entrará en vigencia a partir del día</w:t>
      </w:r>
      <w:r w:rsidR="0099293D">
        <w:rPr>
          <w:rFonts w:ascii="Arial" w:eastAsia="Times New Roman" w:hAnsi="Arial" w:cs="Arial"/>
          <w:sz w:val="16"/>
          <w:szCs w:val="16"/>
          <w:lang w:val="es-EC" w:eastAsia="es-EC"/>
        </w:rPr>
        <w:t xml:space="preserve"> </w:t>
      </w:r>
      <w:r w:rsidRPr="005E1067">
        <w:rPr>
          <w:rFonts w:ascii="Arial" w:eastAsia="Times New Roman" w:hAnsi="Arial" w:cs="Arial"/>
          <w:sz w:val="16"/>
          <w:szCs w:val="16"/>
          <w:lang w:val="es-EC" w:eastAsia="es-EC"/>
        </w:rPr>
        <w:t>siguiente al de su publicación en el Registro Oficial.</w:t>
      </w:r>
    </w:p>
    <w:p w:rsidR="00FB2EBF" w:rsidRPr="0099293D" w:rsidRDefault="00FB2EBF">
      <w:pPr>
        <w:rPr>
          <w:sz w:val="16"/>
          <w:szCs w:val="16"/>
          <w:lang w:val="es-EC"/>
        </w:rPr>
      </w:pPr>
    </w:p>
    <w:sectPr w:rsidR="00FB2EBF" w:rsidRPr="009929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067"/>
    <w:rsid w:val="005E1067"/>
    <w:rsid w:val="00737BBD"/>
    <w:rsid w:val="0099293D"/>
    <w:rsid w:val="00B54AD7"/>
    <w:rsid w:val="00F22F5A"/>
    <w:rsid w:val="00FB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E1067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9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E1067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92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7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3460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</dc:creator>
  <cp:lastModifiedBy>NILO</cp:lastModifiedBy>
  <cp:revision>2</cp:revision>
  <dcterms:created xsi:type="dcterms:W3CDTF">2016-04-11T20:00:00Z</dcterms:created>
  <dcterms:modified xsi:type="dcterms:W3CDTF">2016-04-11T20:00:00Z</dcterms:modified>
</cp:coreProperties>
</file>